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gif" ContentType="image/gif"/>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93"/>
        <w:gridCol w:w="4394"/>
        <w:gridCol w:w="2410"/>
      </w:tblGrid>
      <w:tr w:rsidR="009113D0" w:rsidTr="00611819">
        <w:tc>
          <w:tcPr>
            <w:tcW w:w="2093" w:type="dxa"/>
          </w:tcPr>
          <w:p w:rsidR="001C1D0E" w:rsidRDefault="001C1D0E" w:rsidP="00E250A3">
            <w:pPr>
              <w:jc w:val="center"/>
              <w:rPr>
                <w:rFonts w:eastAsia="Times New Roman" w:cs="Times New Roman"/>
                <w:noProof/>
                <w:lang w:eastAsia="en-GB"/>
              </w:rPr>
            </w:pPr>
          </w:p>
          <w:p w:rsidR="009113D0" w:rsidRPr="00BB6367" w:rsidRDefault="009113D0" w:rsidP="00E250A3">
            <w:pPr>
              <w:jc w:val="center"/>
              <w:rPr>
                <w:rFonts w:ascii="Times" w:eastAsia="Times New Roman" w:hAnsi="Times" w:cs="Times New Roman"/>
                <w:sz w:val="20"/>
                <w:szCs w:val="20"/>
                <w:shd w:val="clear" w:color="auto" w:fill="FFFFFF"/>
                <w:lang w:val="cy-GB"/>
              </w:rPr>
            </w:pPr>
            <w:r>
              <w:rPr>
                <w:rFonts w:eastAsia="Times New Roman" w:cs="Times New Roman"/>
                <w:noProof/>
                <w:lang w:val="en-US"/>
              </w:rPr>
              <w:drawing>
                <wp:inline distT="0" distB="0" distL="0" distR="0">
                  <wp:extent cx="889000" cy="740832"/>
                  <wp:effectExtent l="0" t="0" r="0" b="0"/>
                  <wp:docPr id="2" name="Picture 1" descr="WB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 Crest"/>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91957" cy="743296"/>
                          </a:xfrm>
                          <a:prstGeom prst="rect">
                            <a:avLst/>
                          </a:prstGeom>
                          <a:noFill/>
                          <a:ln>
                            <a:noFill/>
                          </a:ln>
                        </pic:spPr>
                      </pic:pic>
                    </a:graphicData>
                  </a:graphic>
                </wp:inline>
              </w:drawing>
            </w:r>
          </w:p>
          <w:p w:rsidR="009113D0" w:rsidRPr="00290904" w:rsidRDefault="009113D0" w:rsidP="00E250A3">
            <w:pPr>
              <w:jc w:val="center"/>
              <w:rPr>
                <w:rFonts w:ascii="Tahoma" w:eastAsia="Arial Unicode MS" w:hAnsi="Tahoma" w:cs="Tahoma"/>
                <w:color w:val="808080" w:themeColor="background1" w:themeShade="80"/>
                <w:sz w:val="40"/>
                <w:szCs w:val="40"/>
              </w:rPr>
            </w:pPr>
          </w:p>
        </w:tc>
        <w:tc>
          <w:tcPr>
            <w:tcW w:w="4394" w:type="dxa"/>
          </w:tcPr>
          <w:p w:rsidR="003728D0" w:rsidRPr="004129CC" w:rsidRDefault="009113D0" w:rsidP="00E250A3">
            <w:pPr>
              <w:jc w:val="center"/>
              <w:rPr>
                <w:rFonts w:asciiTheme="majorHAnsi" w:eastAsia="Arial Unicode MS" w:hAnsiTheme="majorHAnsi" w:cstheme="majorHAnsi"/>
                <w:color w:val="17365D" w:themeColor="text2" w:themeShade="BF"/>
                <w:sz w:val="36"/>
                <w:szCs w:val="40"/>
              </w:rPr>
            </w:pPr>
            <w:r w:rsidRPr="004129CC">
              <w:rPr>
                <w:rFonts w:asciiTheme="majorHAnsi" w:eastAsia="Arial Unicode MS" w:hAnsiTheme="majorHAnsi" w:cstheme="majorHAnsi"/>
                <w:color w:val="17365D" w:themeColor="text2" w:themeShade="BF"/>
                <w:sz w:val="36"/>
                <w:szCs w:val="40"/>
              </w:rPr>
              <w:t>Transparency Today: Exploring the Adequacy of Sur/S</w:t>
            </w:r>
            <w:r w:rsidR="002D7352" w:rsidRPr="004129CC">
              <w:rPr>
                <w:rFonts w:asciiTheme="majorHAnsi" w:eastAsia="Arial Unicode MS" w:hAnsiTheme="majorHAnsi" w:cstheme="majorHAnsi"/>
                <w:color w:val="17365D" w:themeColor="text2" w:themeShade="BF"/>
                <w:sz w:val="36"/>
                <w:szCs w:val="40"/>
              </w:rPr>
              <w:t>ous</w:t>
            </w:r>
            <w:r w:rsidRPr="004129CC">
              <w:rPr>
                <w:rFonts w:asciiTheme="majorHAnsi" w:eastAsia="Arial Unicode MS" w:hAnsiTheme="majorHAnsi" w:cstheme="majorHAnsi"/>
                <w:color w:val="17365D" w:themeColor="text2" w:themeShade="BF"/>
                <w:sz w:val="36"/>
                <w:szCs w:val="40"/>
              </w:rPr>
              <w:t>/Veillance Theory</w:t>
            </w:r>
            <w:r w:rsidR="006D60B3" w:rsidRPr="004129CC">
              <w:rPr>
                <w:rFonts w:asciiTheme="majorHAnsi" w:eastAsia="Arial Unicode MS" w:hAnsiTheme="majorHAnsi" w:cstheme="majorHAnsi"/>
                <w:color w:val="17365D" w:themeColor="text2" w:themeShade="BF"/>
                <w:sz w:val="36"/>
                <w:szCs w:val="40"/>
              </w:rPr>
              <w:t xml:space="preserve"> and Practice</w:t>
            </w:r>
            <w:r w:rsidR="003728D0" w:rsidRPr="004129CC">
              <w:rPr>
                <w:rFonts w:asciiTheme="majorHAnsi" w:eastAsia="Arial Unicode MS" w:hAnsiTheme="majorHAnsi" w:cstheme="majorHAnsi"/>
                <w:color w:val="17365D" w:themeColor="text2" w:themeShade="BF"/>
                <w:sz w:val="36"/>
                <w:szCs w:val="40"/>
              </w:rPr>
              <w:t xml:space="preserve"> </w:t>
            </w:r>
          </w:p>
          <w:p w:rsidR="009113D0" w:rsidRPr="00BB6367" w:rsidRDefault="003728D0" w:rsidP="00E250A3">
            <w:pPr>
              <w:jc w:val="center"/>
              <w:rPr>
                <w:rFonts w:ascii="Tahoma" w:eastAsia="Arial Unicode MS" w:hAnsi="Tahoma" w:cs="Tahoma"/>
                <w:sz w:val="36"/>
                <w:szCs w:val="36"/>
              </w:rPr>
            </w:pPr>
            <w:r w:rsidRPr="004129CC">
              <w:rPr>
                <w:rFonts w:asciiTheme="majorHAnsi" w:eastAsia="Arial Unicode MS" w:hAnsiTheme="majorHAnsi" w:cstheme="majorHAnsi"/>
                <w:color w:val="17365D" w:themeColor="text2" w:themeShade="BF"/>
                <w:sz w:val="36"/>
                <w:szCs w:val="40"/>
              </w:rPr>
              <w:t>6 January 2015</w:t>
            </w:r>
          </w:p>
        </w:tc>
        <w:tc>
          <w:tcPr>
            <w:tcW w:w="2410" w:type="dxa"/>
          </w:tcPr>
          <w:p w:rsidR="001C1D0E" w:rsidRPr="008563D0" w:rsidRDefault="001C1D0E" w:rsidP="00E250A3">
            <w:pPr>
              <w:pStyle w:val="Title"/>
              <w:pBdr>
                <w:bottom w:val="none" w:sz="0" w:space="0" w:color="auto"/>
              </w:pBdr>
              <w:jc w:val="center"/>
              <w:rPr>
                <w:noProof/>
                <w:color w:val="808080" w:themeColor="background1" w:themeShade="80"/>
                <w:sz w:val="24"/>
                <w:szCs w:val="24"/>
                <w:lang w:eastAsia="en-GB"/>
              </w:rPr>
            </w:pPr>
          </w:p>
          <w:p w:rsidR="009113D0" w:rsidRDefault="009113D0" w:rsidP="00E250A3">
            <w:pPr>
              <w:pStyle w:val="Title"/>
              <w:pBdr>
                <w:bottom w:val="none" w:sz="0" w:space="0" w:color="auto"/>
              </w:pBdr>
              <w:jc w:val="center"/>
              <w:rPr>
                <w:color w:val="808080" w:themeColor="background1" w:themeShade="80"/>
                <w:sz w:val="40"/>
                <w:szCs w:val="40"/>
              </w:rPr>
            </w:pPr>
            <w:r>
              <w:rPr>
                <w:noProof/>
                <w:color w:val="808080" w:themeColor="background1" w:themeShade="80"/>
                <w:sz w:val="40"/>
                <w:szCs w:val="40"/>
                <w:lang w:val="en-US"/>
              </w:rPr>
              <w:drawing>
                <wp:inline distT="0" distB="0" distL="0" distR="0">
                  <wp:extent cx="855134" cy="712677"/>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58348" cy="715355"/>
                          </a:xfrm>
                          <a:prstGeom prst="rect">
                            <a:avLst/>
                          </a:prstGeom>
                          <a:noFill/>
                          <a:ln>
                            <a:noFill/>
                          </a:ln>
                        </pic:spPr>
                      </pic:pic>
                    </a:graphicData>
                  </a:graphic>
                </wp:inline>
              </w:drawing>
            </w:r>
          </w:p>
        </w:tc>
      </w:tr>
    </w:tbl>
    <w:p w:rsidR="004D5F2C" w:rsidRDefault="004D5F2C" w:rsidP="00E250A3">
      <w:pPr>
        <w:pStyle w:val="Subtitle"/>
        <w:jc w:val="center"/>
        <w:rPr>
          <w:color w:val="808080" w:themeColor="background1" w:themeShade="80"/>
        </w:rPr>
      </w:pPr>
    </w:p>
    <w:p w:rsidR="00A567B7" w:rsidRPr="00A567B7" w:rsidRDefault="00A567B7" w:rsidP="00A567B7"/>
    <w:p w:rsidR="003728D0" w:rsidRPr="00F77A9F" w:rsidRDefault="003728D0" w:rsidP="003728D0">
      <w:pPr>
        <w:pStyle w:val="Title"/>
        <w:jc w:val="center"/>
        <w:rPr>
          <w:rFonts w:cstheme="majorHAnsi"/>
          <w:sz w:val="40"/>
          <w:szCs w:val="40"/>
        </w:rPr>
      </w:pPr>
      <w:r w:rsidRPr="00F77A9F">
        <w:rPr>
          <w:rFonts w:cstheme="majorHAnsi"/>
          <w:sz w:val="40"/>
          <w:szCs w:val="40"/>
        </w:rPr>
        <w:t>Seminar Summary</w:t>
      </w:r>
    </w:p>
    <w:p w:rsidR="00FE4DB2" w:rsidRPr="00F77A9F" w:rsidRDefault="00FE4DB2" w:rsidP="00FE4DB2">
      <w:pPr>
        <w:rPr>
          <w:rFonts w:asciiTheme="majorHAnsi" w:hAnsiTheme="majorHAnsi" w:cstheme="majorHAnsi"/>
          <w:iCs/>
        </w:rPr>
      </w:pPr>
      <w:r w:rsidRPr="00F77A9F">
        <w:rPr>
          <w:rFonts w:asciiTheme="majorHAnsi" w:hAnsiTheme="majorHAnsi" w:cstheme="majorHAnsi"/>
        </w:rPr>
        <w:t xml:space="preserve">This summary is based on detailed seminar summaries provided by PhD students Abigail Blyth, Aberystwyth University; George </w:t>
      </w:r>
      <w:proofErr w:type="spellStart"/>
      <w:r w:rsidRPr="00F77A9F">
        <w:rPr>
          <w:rFonts w:asciiTheme="majorHAnsi" w:hAnsiTheme="majorHAnsi" w:cstheme="majorHAnsi"/>
        </w:rPr>
        <w:t>Petry</w:t>
      </w:r>
      <w:proofErr w:type="spellEnd"/>
      <w:r w:rsidRPr="00F77A9F">
        <w:rPr>
          <w:rFonts w:asciiTheme="majorHAnsi" w:hAnsiTheme="majorHAnsi" w:cstheme="majorHAnsi"/>
        </w:rPr>
        <w:t xml:space="preserve">, University of South Wales; and </w:t>
      </w:r>
      <w:proofErr w:type="spellStart"/>
      <w:r w:rsidRPr="00F77A9F">
        <w:rPr>
          <w:rFonts w:asciiTheme="majorHAnsi" w:hAnsiTheme="majorHAnsi" w:cstheme="majorHAnsi"/>
          <w:iCs/>
        </w:rPr>
        <w:t>Tiewtiwa</w:t>
      </w:r>
      <w:proofErr w:type="spellEnd"/>
      <w:r w:rsidRPr="00F77A9F">
        <w:rPr>
          <w:rFonts w:asciiTheme="majorHAnsi" w:hAnsiTheme="majorHAnsi" w:cstheme="majorHAnsi"/>
          <w:iCs/>
        </w:rPr>
        <w:t xml:space="preserve"> </w:t>
      </w:r>
      <w:proofErr w:type="spellStart"/>
      <w:r w:rsidRPr="00F77A9F">
        <w:rPr>
          <w:rFonts w:asciiTheme="majorHAnsi" w:hAnsiTheme="majorHAnsi" w:cstheme="majorHAnsi"/>
          <w:iCs/>
        </w:rPr>
        <w:t>Tanalekhapat</w:t>
      </w:r>
      <w:proofErr w:type="spellEnd"/>
      <w:r w:rsidRPr="00F77A9F">
        <w:rPr>
          <w:rFonts w:asciiTheme="majorHAnsi" w:hAnsiTheme="majorHAnsi" w:cstheme="majorHAnsi"/>
          <w:iCs/>
        </w:rPr>
        <w:t xml:space="preserve">, </w:t>
      </w:r>
      <w:r w:rsidRPr="00F77A9F">
        <w:rPr>
          <w:rFonts w:asciiTheme="majorHAnsi" w:hAnsiTheme="majorHAnsi" w:cstheme="majorHAnsi"/>
        </w:rPr>
        <w:t>Aberystwyth University</w:t>
      </w:r>
    </w:p>
    <w:p w:rsidR="00FE4DB2" w:rsidRPr="00F77A9F" w:rsidRDefault="00FE4DB2" w:rsidP="003728D0">
      <w:pPr>
        <w:jc w:val="both"/>
        <w:rPr>
          <w:rFonts w:asciiTheme="majorHAnsi" w:hAnsiTheme="majorHAnsi" w:cstheme="majorHAnsi"/>
        </w:rPr>
      </w:pPr>
      <w:r w:rsidRPr="00F77A9F">
        <w:rPr>
          <w:rFonts w:asciiTheme="majorHAnsi" w:hAnsiTheme="majorHAnsi" w:cstheme="majorHAnsi"/>
        </w:rPr>
        <w:t xml:space="preserve"> </w:t>
      </w:r>
    </w:p>
    <w:p w:rsidR="003728D0" w:rsidRPr="00F77A9F" w:rsidRDefault="003728D0" w:rsidP="003728D0">
      <w:pPr>
        <w:jc w:val="both"/>
        <w:rPr>
          <w:rFonts w:asciiTheme="majorHAnsi" w:hAnsiTheme="majorHAnsi" w:cstheme="majorHAnsi"/>
        </w:rPr>
      </w:pPr>
      <w:r w:rsidRPr="00F77A9F">
        <w:rPr>
          <w:rFonts w:asciiTheme="majorHAnsi" w:hAnsiTheme="majorHAnsi" w:cstheme="majorHAnsi"/>
          <w:b/>
        </w:rPr>
        <w:t xml:space="preserve">Introduction by Dr Vian Bakir and Dr Andrew McStay: </w:t>
      </w:r>
      <w:r w:rsidRPr="00F77A9F">
        <w:rPr>
          <w:rFonts w:asciiTheme="majorHAnsi" w:hAnsiTheme="majorHAnsi" w:cstheme="majorHAnsi"/>
        </w:rPr>
        <w:t xml:space="preserve">The seminar began with an in-depth discussion of three types of transparency; two originally identified by Bentham: Liberal and Radical Transparency, and one coined by McStay, that appears increasingly pertinent to today’s society: Forced Transparency, or transparency without consent or choice. </w:t>
      </w:r>
    </w:p>
    <w:p w:rsidR="003728D0" w:rsidRPr="00F77A9F" w:rsidRDefault="003728D0" w:rsidP="003728D0">
      <w:pPr>
        <w:jc w:val="both"/>
        <w:rPr>
          <w:rFonts w:asciiTheme="majorHAnsi" w:hAnsiTheme="majorHAnsi" w:cstheme="majorHAnsi"/>
          <w:b/>
        </w:rPr>
      </w:pPr>
    </w:p>
    <w:p w:rsidR="003728D0" w:rsidRPr="00F77A9F" w:rsidRDefault="003728D0" w:rsidP="003728D0">
      <w:pPr>
        <w:rPr>
          <w:rFonts w:asciiTheme="majorHAnsi" w:hAnsiTheme="majorHAnsi" w:cstheme="majorHAnsi"/>
        </w:rPr>
      </w:pPr>
      <w:r w:rsidRPr="00F77A9F">
        <w:rPr>
          <w:rFonts w:asciiTheme="majorHAnsi" w:hAnsiTheme="majorHAnsi" w:cstheme="majorHAnsi"/>
          <w:b/>
        </w:rPr>
        <w:t>Keynote 1: Professor Steve Mann</w:t>
      </w:r>
      <w:r w:rsidRPr="00F77A9F">
        <w:rPr>
          <w:rFonts w:asciiTheme="majorHAnsi" w:hAnsiTheme="majorHAnsi" w:cstheme="majorHAnsi"/>
        </w:rPr>
        <w:t>, University of Toronto, introduced some key concepts, including sousveillance, survei</w:t>
      </w:r>
      <w:r w:rsidR="003039EA">
        <w:rPr>
          <w:rFonts w:asciiTheme="majorHAnsi" w:hAnsiTheme="majorHAnsi" w:cstheme="majorHAnsi"/>
        </w:rPr>
        <w:t xml:space="preserve">llance, </w:t>
      </w:r>
      <w:proofErr w:type="spellStart"/>
      <w:r w:rsidR="003039EA">
        <w:rPr>
          <w:rFonts w:asciiTheme="majorHAnsi" w:hAnsiTheme="majorHAnsi" w:cstheme="majorHAnsi"/>
        </w:rPr>
        <w:t>equiveillance</w:t>
      </w:r>
      <w:proofErr w:type="spellEnd"/>
      <w:r w:rsidR="003039EA">
        <w:rPr>
          <w:rFonts w:asciiTheme="majorHAnsi" w:hAnsiTheme="majorHAnsi" w:cstheme="majorHAnsi"/>
        </w:rPr>
        <w:t xml:space="preserve">, and </w:t>
      </w:r>
      <w:proofErr w:type="spellStart"/>
      <w:r w:rsidR="003039EA">
        <w:rPr>
          <w:rFonts w:asciiTheme="majorHAnsi" w:hAnsiTheme="majorHAnsi" w:cstheme="majorHAnsi"/>
        </w:rPr>
        <w:t>priveilla</w:t>
      </w:r>
      <w:r w:rsidRPr="00F77A9F">
        <w:rPr>
          <w:rFonts w:asciiTheme="majorHAnsi" w:hAnsiTheme="majorHAnsi" w:cstheme="majorHAnsi"/>
        </w:rPr>
        <w:t>nce</w:t>
      </w:r>
      <w:proofErr w:type="spellEnd"/>
      <w:r w:rsidRPr="00F77A9F">
        <w:rPr>
          <w:rFonts w:asciiTheme="majorHAnsi" w:hAnsiTheme="majorHAnsi" w:cstheme="majorHAnsi"/>
        </w:rPr>
        <w:t>. Mann argues that surveillance is hypocritical, centralised, secretive and corrupt whereas sousveillance has integrity, openness and is distributed. He predicted a time in the future when an ‘</w:t>
      </w:r>
      <w:proofErr w:type="spellStart"/>
      <w:r w:rsidRPr="00F77A9F">
        <w:rPr>
          <w:rFonts w:asciiTheme="majorHAnsi" w:hAnsiTheme="majorHAnsi" w:cstheme="majorHAnsi"/>
        </w:rPr>
        <w:t>equiveillance</w:t>
      </w:r>
      <w:proofErr w:type="spellEnd"/>
      <w:r w:rsidRPr="00F77A9F">
        <w:rPr>
          <w:rFonts w:asciiTheme="majorHAnsi" w:hAnsiTheme="majorHAnsi" w:cstheme="majorHAnsi"/>
        </w:rPr>
        <w:t xml:space="preserve"> point’ will be reached with an equal number of cameras carrying out surveillance, and the same amount of cameras being used by the public as wearable media carrying out sousveillant activity. This will, he argues, in due course lead back to a situation where everyone is wearing cameras, thereby negating the need for, and legitimacy of, surveillance. Slides are available on: </w:t>
      </w:r>
      <w:hyperlink r:id="rId9" w:history="1">
        <w:r w:rsidRPr="00F77A9F">
          <w:rPr>
            <w:rStyle w:val="Hyperlink"/>
            <w:rFonts w:asciiTheme="majorHAnsi" w:hAnsiTheme="majorHAnsi" w:cstheme="majorHAnsi"/>
          </w:rPr>
          <w:t>http://wearcam.org/html5/mannkeynotes/priveillance.htm</w:t>
        </w:r>
      </w:hyperlink>
    </w:p>
    <w:p w:rsidR="003728D0" w:rsidRPr="00F77A9F" w:rsidRDefault="003728D0" w:rsidP="003728D0">
      <w:pPr>
        <w:jc w:val="both"/>
        <w:rPr>
          <w:rFonts w:asciiTheme="majorHAnsi" w:hAnsiTheme="majorHAnsi" w:cstheme="majorHAnsi"/>
        </w:rPr>
      </w:pPr>
    </w:p>
    <w:p w:rsidR="003728D0" w:rsidRPr="00F77A9F" w:rsidRDefault="003728D0" w:rsidP="003728D0">
      <w:pPr>
        <w:jc w:val="both"/>
        <w:rPr>
          <w:rFonts w:asciiTheme="majorHAnsi" w:hAnsiTheme="majorHAnsi" w:cstheme="majorHAnsi"/>
        </w:rPr>
      </w:pPr>
      <w:r w:rsidRPr="00F77A9F">
        <w:rPr>
          <w:rFonts w:asciiTheme="majorHAnsi" w:hAnsiTheme="majorHAnsi" w:cstheme="majorHAnsi"/>
        </w:rPr>
        <w:t xml:space="preserve">In the lively </w:t>
      </w:r>
      <w:r w:rsidRPr="00F77A9F">
        <w:rPr>
          <w:rFonts w:asciiTheme="majorHAnsi" w:hAnsiTheme="majorHAnsi" w:cstheme="majorHAnsi"/>
          <w:b/>
        </w:rPr>
        <w:t xml:space="preserve">Roundtable on Sousveillance </w:t>
      </w:r>
      <w:r w:rsidRPr="00F77A9F">
        <w:rPr>
          <w:rFonts w:asciiTheme="majorHAnsi" w:hAnsiTheme="majorHAnsi" w:cstheme="majorHAnsi"/>
        </w:rPr>
        <w:t xml:space="preserve">that followed, the group discussed whether the continued focus on the visual aspects (i.e. the ‘veillance’ part) of surveillance was legitimate. Recent events such as the Edward Snowden revelations has shown that surveillance encompasses much more, including an examination of mass data – </w:t>
      </w:r>
      <w:proofErr w:type="spellStart"/>
      <w:r w:rsidRPr="00F77A9F">
        <w:rPr>
          <w:rFonts w:asciiTheme="majorHAnsi" w:hAnsiTheme="majorHAnsi" w:cstheme="majorHAnsi"/>
        </w:rPr>
        <w:t>dataveillance</w:t>
      </w:r>
      <w:proofErr w:type="spellEnd"/>
      <w:r w:rsidRPr="00F77A9F">
        <w:rPr>
          <w:rFonts w:asciiTheme="majorHAnsi" w:hAnsiTheme="majorHAnsi" w:cstheme="majorHAnsi"/>
        </w:rPr>
        <w:t xml:space="preserve"> – and sousveillance might not be able to fully counter that surveillance. The discussion then turned to the possibility of having sousveillant data transmigrate into </w:t>
      </w:r>
      <w:proofErr w:type="spellStart"/>
      <w:r w:rsidRPr="00F77A9F">
        <w:rPr>
          <w:rFonts w:asciiTheme="majorHAnsi" w:hAnsiTheme="majorHAnsi" w:cstheme="majorHAnsi"/>
        </w:rPr>
        <w:t>surveillant</w:t>
      </w:r>
      <w:proofErr w:type="spellEnd"/>
      <w:r w:rsidRPr="00F77A9F">
        <w:rPr>
          <w:rFonts w:asciiTheme="majorHAnsi" w:hAnsiTheme="majorHAnsi" w:cstheme="majorHAnsi"/>
        </w:rPr>
        <w:t xml:space="preserve"> data, if it falls into the wrong hands; the commodification of data, and the issues of ‘dark corners of power’ that fall beyond the reaches of sousveillance. The legal and technological aspects, including the law’s fairly limited interpretation of the right to privacy, and issues of encryption and ‘making sense’ of big data, were discussed at length.</w:t>
      </w:r>
    </w:p>
    <w:p w:rsidR="003728D0" w:rsidRPr="00F77A9F" w:rsidRDefault="003728D0" w:rsidP="003728D0">
      <w:pPr>
        <w:jc w:val="both"/>
        <w:rPr>
          <w:rFonts w:asciiTheme="majorHAnsi" w:hAnsiTheme="majorHAnsi" w:cstheme="majorHAnsi"/>
        </w:rPr>
      </w:pPr>
    </w:p>
    <w:p w:rsidR="003728D0" w:rsidRPr="00F77A9F" w:rsidRDefault="00632428" w:rsidP="003728D0">
      <w:pPr>
        <w:jc w:val="both"/>
        <w:rPr>
          <w:rFonts w:asciiTheme="majorHAnsi" w:hAnsiTheme="majorHAnsi" w:cstheme="majorHAnsi"/>
          <w:lang w:val="en-US"/>
        </w:rPr>
      </w:pPr>
      <w:r>
        <w:rPr>
          <w:rFonts w:asciiTheme="majorHAnsi" w:hAnsiTheme="majorHAnsi" w:cstheme="majorHAnsi"/>
          <w:b/>
        </w:rPr>
        <w:t xml:space="preserve">Keynote 2: </w:t>
      </w:r>
      <w:r w:rsidR="003728D0" w:rsidRPr="00F77A9F">
        <w:rPr>
          <w:rFonts w:asciiTheme="majorHAnsi" w:hAnsiTheme="majorHAnsi" w:cstheme="majorHAnsi"/>
          <w:b/>
        </w:rPr>
        <w:t>Professor Kirstie Ball</w:t>
      </w:r>
      <w:r w:rsidR="003728D0" w:rsidRPr="00F77A9F">
        <w:rPr>
          <w:rFonts w:asciiTheme="majorHAnsi" w:hAnsiTheme="majorHAnsi" w:cstheme="majorHAnsi"/>
        </w:rPr>
        <w:t xml:space="preserve">, Open University, highlighted the blurring of the lines between the state and the private sector in national security matters. To protect national security, the UK Border Agency created an obligation on airlines to provide a securitised data flow of passport information of those booked on planes, and taking flights. </w:t>
      </w:r>
      <w:r w:rsidR="003728D0" w:rsidRPr="00F77A9F">
        <w:rPr>
          <w:rFonts w:asciiTheme="majorHAnsi" w:hAnsiTheme="majorHAnsi" w:cstheme="majorHAnsi"/>
          <w:lang w:val="en-US"/>
        </w:rPr>
        <w:t xml:space="preserve">By reflecting on the concept of transparency from the research project, Ball addresses the notion of transparency veillance, in which transparency consequently has become multilayered and </w:t>
      </w:r>
      <w:proofErr w:type="spellStart"/>
      <w:r w:rsidR="003728D0" w:rsidRPr="00F77A9F">
        <w:rPr>
          <w:rFonts w:asciiTheme="majorHAnsi" w:hAnsiTheme="majorHAnsi" w:cstheme="majorHAnsi"/>
          <w:lang w:val="en-US"/>
        </w:rPr>
        <w:t>politicised</w:t>
      </w:r>
      <w:proofErr w:type="spellEnd"/>
      <w:r w:rsidR="003728D0" w:rsidRPr="00F77A9F">
        <w:rPr>
          <w:rFonts w:asciiTheme="majorHAnsi" w:hAnsiTheme="majorHAnsi" w:cstheme="majorHAnsi"/>
          <w:lang w:val="en-US"/>
        </w:rPr>
        <w:t xml:space="preserve">.  She argues that to </w:t>
      </w:r>
      <w:proofErr w:type="spellStart"/>
      <w:r w:rsidR="003728D0" w:rsidRPr="00F77A9F">
        <w:rPr>
          <w:rFonts w:asciiTheme="majorHAnsi" w:hAnsiTheme="majorHAnsi" w:cstheme="majorHAnsi"/>
          <w:lang w:val="en-US"/>
        </w:rPr>
        <w:t>securitise</w:t>
      </w:r>
      <w:proofErr w:type="spellEnd"/>
      <w:r w:rsidR="003728D0" w:rsidRPr="00F77A9F">
        <w:rPr>
          <w:rFonts w:asciiTheme="majorHAnsi" w:hAnsiTheme="majorHAnsi" w:cstheme="majorHAnsi"/>
          <w:lang w:val="en-US"/>
        </w:rPr>
        <w:t xml:space="preserve"> something is to render it dangerous, and commercial activities are generally shot through with insecurities.</w:t>
      </w:r>
    </w:p>
    <w:p w:rsidR="003728D0" w:rsidRPr="00F77A9F" w:rsidRDefault="003728D0" w:rsidP="003728D0">
      <w:pPr>
        <w:jc w:val="both"/>
        <w:rPr>
          <w:rFonts w:asciiTheme="majorHAnsi" w:hAnsiTheme="majorHAnsi" w:cstheme="majorHAnsi"/>
          <w:lang w:val="en-US"/>
        </w:rPr>
      </w:pPr>
    </w:p>
    <w:p w:rsidR="003728D0" w:rsidRPr="00F77A9F" w:rsidRDefault="003728D0" w:rsidP="003728D0">
      <w:pPr>
        <w:jc w:val="both"/>
        <w:rPr>
          <w:rFonts w:asciiTheme="majorHAnsi" w:hAnsiTheme="majorHAnsi" w:cstheme="majorHAnsi"/>
        </w:rPr>
      </w:pPr>
      <w:r w:rsidRPr="00F77A9F">
        <w:rPr>
          <w:rFonts w:asciiTheme="majorHAnsi" w:hAnsiTheme="majorHAnsi" w:cstheme="majorHAnsi"/>
          <w:lang w:val="en-US"/>
        </w:rPr>
        <w:t xml:space="preserve">The </w:t>
      </w:r>
      <w:r w:rsidRPr="00F77A9F">
        <w:rPr>
          <w:rFonts w:asciiTheme="majorHAnsi" w:hAnsiTheme="majorHAnsi" w:cstheme="majorHAnsi"/>
          <w:b/>
          <w:lang w:val="en-US"/>
        </w:rPr>
        <w:t xml:space="preserve">Roundtable on Surveillance </w:t>
      </w:r>
      <w:r w:rsidRPr="00F77A9F">
        <w:rPr>
          <w:rFonts w:asciiTheme="majorHAnsi" w:hAnsiTheme="majorHAnsi" w:cstheme="majorHAnsi"/>
          <w:lang w:val="en-US"/>
        </w:rPr>
        <w:t xml:space="preserve">began with a scintillating short presentation on the work of </w:t>
      </w:r>
      <w:proofErr w:type="spellStart"/>
      <w:r w:rsidRPr="00F77A9F">
        <w:rPr>
          <w:rFonts w:asciiTheme="majorHAnsi" w:hAnsiTheme="majorHAnsi" w:cstheme="majorHAnsi"/>
          <w:lang w:val="en-US"/>
        </w:rPr>
        <w:t>PlanetLabs</w:t>
      </w:r>
      <w:proofErr w:type="spellEnd"/>
      <w:r w:rsidRPr="00F77A9F">
        <w:rPr>
          <w:rFonts w:asciiTheme="majorHAnsi" w:hAnsiTheme="majorHAnsi" w:cstheme="majorHAnsi"/>
          <w:lang w:val="en-US"/>
        </w:rPr>
        <w:t xml:space="preserve"> - </w:t>
      </w:r>
      <w:hyperlink r:id="rId10" w:history="1">
        <w:r w:rsidRPr="00F77A9F">
          <w:rPr>
            <w:rStyle w:val="Hyperlink"/>
            <w:rFonts w:asciiTheme="majorHAnsi" w:hAnsiTheme="majorHAnsi" w:cstheme="majorHAnsi"/>
            <w:lang w:val="en-US"/>
          </w:rPr>
          <w:t>https://www.planet.com/</w:t>
        </w:r>
      </w:hyperlink>
      <w:r w:rsidRPr="00F77A9F">
        <w:rPr>
          <w:rFonts w:asciiTheme="majorHAnsi" w:hAnsiTheme="majorHAnsi" w:cstheme="majorHAnsi"/>
          <w:lang w:val="en-US"/>
        </w:rPr>
        <w:t xml:space="preserve"> - a satellite imaging company. </w:t>
      </w:r>
      <w:r w:rsidRPr="00F77A9F">
        <w:rPr>
          <w:rFonts w:asciiTheme="majorHAnsi" w:hAnsiTheme="majorHAnsi" w:cstheme="majorHAnsi"/>
        </w:rPr>
        <w:t xml:space="preserve">This further highlighted the role of the private sector in the collection and dissemination of data and how they interact with respective national legislation in this field. </w:t>
      </w:r>
      <w:proofErr w:type="spellStart"/>
      <w:r w:rsidRPr="00F77A9F">
        <w:rPr>
          <w:rFonts w:asciiTheme="majorHAnsi" w:hAnsiTheme="majorHAnsi" w:cstheme="majorHAnsi"/>
        </w:rPr>
        <w:t>PlanetLabs</w:t>
      </w:r>
      <w:proofErr w:type="spellEnd"/>
      <w:r w:rsidRPr="00F77A9F">
        <w:rPr>
          <w:rFonts w:asciiTheme="majorHAnsi" w:hAnsiTheme="majorHAnsi" w:cstheme="majorHAnsi"/>
        </w:rPr>
        <w:t xml:space="preserve"> is based in the USA and the US Government has the ability to access their satellite images and equally to stop them to photographing certain areas of the world. From an intelligence studies perspective, this continues to raise questions in relation to the interaction between governments and private companies when matters of national security are involved. It also highlights the problematical debate witnessed within the </w:t>
      </w:r>
      <w:r w:rsidR="00195FCA">
        <w:rPr>
          <w:rFonts w:asciiTheme="majorHAnsi" w:hAnsiTheme="majorHAnsi" w:cstheme="majorHAnsi"/>
        </w:rPr>
        <w:t xml:space="preserve">UK </w:t>
      </w:r>
      <w:r w:rsidRPr="00F77A9F">
        <w:rPr>
          <w:rFonts w:asciiTheme="majorHAnsi" w:hAnsiTheme="majorHAnsi" w:cstheme="majorHAnsi"/>
        </w:rPr>
        <w:t xml:space="preserve">Intelligence and Security Committee’s Annual Reports on accountability over matters concerning national security. Some discussion ensued on whether the dichotomy between surveillance and sousveillance remains useful given the uncertainty of data flows regardless of their origin. </w:t>
      </w:r>
    </w:p>
    <w:p w:rsidR="003728D0" w:rsidRPr="00F77A9F" w:rsidRDefault="003728D0" w:rsidP="00611819">
      <w:pPr>
        <w:pStyle w:val="Title"/>
        <w:rPr>
          <w:rFonts w:cstheme="majorHAnsi"/>
        </w:rPr>
      </w:pPr>
    </w:p>
    <w:p w:rsidR="003728D0" w:rsidRPr="00F77A9F" w:rsidRDefault="003728D0" w:rsidP="003728D0">
      <w:pPr>
        <w:pStyle w:val="Title"/>
        <w:jc w:val="center"/>
        <w:rPr>
          <w:rFonts w:cstheme="majorHAnsi"/>
          <w:sz w:val="40"/>
          <w:szCs w:val="40"/>
        </w:rPr>
      </w:pPr>
      <w:r w:rsidRPr="00F77A9F">
        <w:rPr>
          <w:rFonts w:cstheme="majorHAnsi"/>
          <w:sz w:val="40"/>
          <w:szCs w:val="40"/>
        </w:rPr>
        <w:t>Policy Recommendations</w:t>
      </w:r>
    </w:p>
    <w:p w:rsidR="003728D0" w:rsidRPr="00F77A9F" w:rsidRDefault="003728D0" w:rsidP="003728D0">
      <w:pPr>
        <w:pStyle w:val="ListParagraph"/>
        <w:numPr>
          <w:ilvl w:val="0"/>
          <w:numId w:val="8"/>
        </w:numPr>
        <w:spacing w:after="180"/>
        <w:jc w:val="both"/>
        <w:rPr>
          <w:rFonts w:asciiTheme="majorHAnsi" w:hAnsiTheme="majorHAnsi" w:cstheme="majorHAnsi"/>
        </w:rPr>
      </w:pPr>
      <w:r w:rsidRPr="00F77A9F">
        <w:rPr>
          <w:rFonts w:asciiTheme="majorHAnsi" w:hAnsiTheme="majorHAnsi" w:cstheme="majorHAnsi"/>
        </w:rPr>
        <w:t>There is a need for politics students, academics, and professionals to be technologically aware as well as for computer science and engineering students, academics, and professionals to be politically aware as disciplines continue to intersect.</w:t>
      </w:r>
    </w:p>
    <w:p w:rsidR="003728D0" w:rsidRPr="00F77A9F" w:rsidRDefault="003728D0" w:rsidP="003728D0">
      <w:pPr>
        <w:pStyle w:val="ListParagraph"/>
        <w:numPr>
          <w:ilvl w:val="0"/>
          <w:numId w:val="8"/>
        </w:numPr>
        <w:spacing w:after="180"/>
        <w:jc w:val="both"/>
        <w:rPr>
          <w:rFonts w:asciiTheme="majorHAnsi" w:hAnsiTheme="majorHAnsi" w:cstheme="majorHAnsi"/>
        </w:rPr>
      </w:pPr>
      <w:r w:rsidRPr="00F77A9F">
        <w:rPr>
          <w:rFonts w:asciiTheme="majorHAnsi" w:hAnsiTheme="majorHAnsi" w:cstheme="majorHAnsi"/>
        </w:rPr>
        <w:t xml:space="preserve">Those involved in data creation and storage need to be mindful of the possibility of that data being misused, intercepted, or </w:t>
      </w:r>
      <w:proofErr w:type="spellStart"/>
      <w:r w:rsidRPr="00F77A9F">
        <w:rPr>
          <w:rFonts w:asciiTheme="majorHAnsi" w:hAnsiTheme="majorHAnsi" w:cstheme="majorHAnsi"/>
        </w:rPr>
        <w:t>commodified</w:t>
      </w:r>
      <w:proofErr w:type="spellEnd"/>
      <w:r w:rsidRPr="00F77A9F">
        <w:rPr>
          <w:rFonts w:asciiTheme="majorHAnsi" w:hAnsiTheme="majorHAnsi" w:cstheme="majorHAnsi"/>
        </w:rPr>
        <w:t xml:space="preserve"> by others – with or without their consent. Users need to consider how data can be controlled and accessed, and what use can be made of data once created.</w:t>
      </w:r>
    </w:p>
    <w:p w:rsidR="003728D0" w:rsidRPr="00F77A9F" w:rsidRDefault="003728D0" w:rsidP="003728D0">
      <w:pPr>
        <w:pStyle w:val="ListParagraph"/>
        <w:numPr>
          <w:ilvl w:val="0"/>
          <w:numId w:val="8"/>
        </w:numPr>
        <w:spacing w:after="180"/>
        <w:jc w:val="both"/>
        <w:rPr>
          <w:rFonts w:asciiTheme="majorHAnsi" w:hAnsiTheme="majorHAnsi" w:cstheme="majorHAnsi"/>
        </w:rPr>
      </w:pPr>
      <w:r w:rsidRPr="00F77A9F">
        <w:rPr>
          <w:rFonts w:asciiTheme="majorHAnsi" w:hAnsiTheme="majorHAnsi" w:cstheme="majorHAnsi"/>
        </w:rPr>
        <w:t xml:space="preserve">Governments must be aware of the implications of outsourcing surveillance to private entities, both in terms of the negative impacts on competition that can result (as highlighted by Ball </w:t>
      </w:r>
      <w:r w:rsidRPr="00F77A9F">
        <w:rPr>
          <w:rFonts w:asciiTheme="majorHAnsi" w:hAnsiTheme="majorHAnsi" w:cstheme="majorHAnsi"/>
          <w:i/>
        </w:rPr>
        <w:t>et al.</w:t>
      </w:r>
      <w:r w:rsidRPr="00F77A9F">
        <w:rPr>
          <w:rFonts w:asciiTheme="majorHAnsi" w:hAnsiTheme="majorHAnsi" w:cstheme="majorHAnsi"/>
        </w:rPr>
        <w:t xml:space="preserve">) and more broadly of the fact that by securitising an activity, it is implicitly rendered dangerous. There are important implications for the private sector and customer relations, if private companies are co-opted into a policing function. </w:t>
      </w:r>
    </w:p>
    <w:p w:rsidR="003728D0" w:rsidRPr="00F77A9F" w:rsidRDefault="003728D0" w:rsidP="003728D0">
      <w:pPr>
        <w:pStyle w:val="ListParagraph"/>
        <w:numPr>
          <w:ilvl w:val="0"/>
          <w:numId w:val="8"/>
        </w:numPr>
        <w:spacing w:after="180"/>
        <w:jc w:val="both"/>
        <w:rPr>
          <w:rFonts w:asciiTheme="majorHAnsi" w:hAnsiTheme="majorHAnsi" w:cstheme="majorHAnsi"/>
        </w:rPr>
      </w:pPr>
      <w:r w:rsidRPr="00F77A9F">
        <w:rPr>
          <w:rFonts w:asciiTheme="majorHAnsi" w:hAnsiTheme="majorHAnsi" w:cstheme="majorHAnsi"/>
        </w:rPr>
        <w:t xml:space="preserve">A deeper engagement with the concept of privacy and what it means in today’s society needs to be undertaken, from political, journalistic, legal and philosophical perspectives, amongst others. Are technological tools to prevent surveillance sufficient to protect privacy or are we entering an arms’ race of technological techniques of surveillance and </w:t>
      </w:r>
      <w:proofErr w:type="spellStart"/>
      <w:r w:rsidRPr="00F77A9F">
        <w:rPr>
          <w:rFonts w:asciiTheme="majorHAnsi" w:hAnsiTheme="majorHAnsi" w:cstheme="majorHAnsi"/>
        </w:rPr>
        <w:t>counterveillance</w:t>
      </w:r>
      <w:proofErr w:type="spellEnd"/>
      <w:r w:rsidR="00195FCA">
        <w:rPr>
          <w:rFonts w:asciiTheme="majorHAnsi" w:hAnsiTheme="majorHAnsi" w:cstheme="majorHAnsi"/>
        </w:rPr>
        <w:t xml:space="preserve"> (</w:t>
      </w:r>
      <w:proofErr w:type="spellStart"/>
      <w:r w:rsidR="00195FCA">
        <w:rPr>
          <w:rFonts w:asciiTheme="majorHAnsi" w:hAnsiTheme="majorHAnsi" w:cstheme="majorHAnsi"/>
        </w:rPr>
        <w:t>ie</w:t>
      </w:r>
      <w:proofErr w:type="spellEnd"/>
      <w:r w:rsidR="00195FCA">
        <w:rPr>
          <w:rFonts w:asciiTheme="majorHAnsi" w:hAnsiTheme="majorHAnsi" w:cstheme="majorHAnsi"/>
        </w:rPr>
        <w:t xml:space="preserve"> measures to block any type of watching)</w:t>
      </w:r>
      <w:r w:rsidRPr="00F77A9F">
        <w:rPr>
          <w:rFonts w:asciiTheme="majorHAnsi" w:hAnsiTheme="majorHAnsi" w:cstheme="majorHAnsi"/>
        </w:rPr>
        <w:t>?</w:t>
      </w:r>
    </w:p>
    <w:p w:rsidR="00AF3C08" w:rsidRPr="00611819" w:rsidRDefault="003728D0" w:rsidP="00611819">
      <w:pPr>
        <w:pStyle w:val="ListParagraph"/>
        <w:numPr>
          <w:ilvl w:val="0"/>
          <w:numId w:val="8"/>
        </w:numPr>
        <w:autoSpaceDE w:val="0"/>
        <w:autoSpaceDN w:val="0"/>
        <w:adjustRightInd w:val="0"/>
        <w:spacing w:after="180"/>
        <w:jc w:val="both"/>
        <w:rPr>
          <w:rFonts w:asciiTheme="majorHAnsi" w:hAnsiTheme="majorHAnsi" w:cstheme="majorHAnsi"/>
          <w:sz w:val="22"/>
          <w:szCs w:val="22"/>
        </w:rPr>
      </w:pPr>
      <w:r w:rsidRPr="00F77A9F">
        <w:rPr>
          <w:rFonts w:asciiTheme="majorHAnsi" w:hAnsiTheme="majorHAnsi" w:cstheme="majorHAnsi"/>
        </w:rPr>
        <w:t xml:space="preserve">The extent to which individuals can avoid interference with their privacy in an increasingly technological society, and the extent to which sousveillance can counteract surveillance, is worthy of further in-depth examination. </w:t>
      </w:r>
      <w:r w:rsidR="00E34502" w:rsidRPr="00F77A9F">
        <w:rPr>
          <w:rFonts w:asciiTheme="majorHAnsi" w:hAnsiTheme="majorHAnsi" w:cstheme="majorHAnsi"/>
        </w:rPr>
        <w:t xml:space="preserve">In particular, is there value in sousveillance without </w:t>
      </w:r>
      <w:r w:rsidR="00B3334D" w:rsidRPr="00F77A9F">
        <w:rPr>
          <w:rFonts w:asciiTheme="majorHAnsi" w:hAnsiTheme="majorHAnsi" w:cstheme="majorHAnsi"/>
        </w:rPr>
        <w:t>meaningful evidence of accountability?</w:t>
      </w:r>
    </w:p>
    <w:sectPr w:rsidR="00AF3C08" w:rsidRPr="00611819" w:rsidSect="00611819">
      <w:headerReference w:type="even" r:id="rId11"/>
      <w:headerReference w:type="default" r:id="rId12"/>
      <w:headerReference w:type="first" r:id="rId13"/>
      <w:pgSz w:w="11900" w:h="16840"/>
      <w:pgMar w:top="1361" w:right="1531" w:bottom="1361" w:left="1531"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BEC" w:rsidRDefault="00BF3BEC" w:rsidP="00CA7107">
      <w:r>
        <w:separator/>
      </w:r>
    </w:p>
  </w:endnote>
  <w:endnote w:type="continuationSeparator" w:id="0">
    <w:p w:rsidR="00BF3BEC" w:rsidRDefault="00BF3BEC" w:rsidP="00CA7107">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BEC" w:rsidRDefault="00BF3BEC" w:rsidP="00CA7107">
      <w:r>
        <w:separator/>
      </w:r>
    </w:p>
  </w:footnote>
  <w:footnote w:type="continuationSeparator" w:id="0">
    <w:p w:rsidR="00BF3BEC" w:rsidRDefault="00BF3BEC" w:rsidP="00CA710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BEC" w:rsidRDefault="00D75DB4">
    <w:pPr>
      <w:pStyle w:val="Header"/>
    </w:pPr>
    <w:r>
      <w:rPr>
        <w:noProof/>
        <w:lang w:val="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2pt;height:146pt;rotation:315;z-index:-251655168;mso-wrap-edited:f;mso-position-horizontal:center;mso-position-horizontal-relative:margin;mso-position-vertical:center;mso-position-vertical-relative:margin" wrapcoords="20665 3544 18117 3544 16872 3655 16532 3323 16164 3101 15938 3323 15598 3766 15287 4984 14834 4209 14211 3323 14154 3323 13588 3323 13192 3987 13107 4320 12880 5427 12456 4098 11889 3101 11720 3544 10729 3544 10672 3766 10644 9193 8577 3323 3000 3544 2887 3655 2802 6092 2094 4320 1613 3323 1500 3655 169 3544 113 10633 141 17280 283 17833 3453 17723 3482 17612 3510 16615 3821 17723 4359 18498 4501 17944 4812 17944 4840 17723 4840 16726 4982 17169 5690 18276 5860 18055 6312 17833 6369 17612 7105 17944 9200 17833 9228 17723 9228 16393 9087 13403 9370 14289 10814 18055 10927 17944 11691 17833 11748 13624 13361 17723 13503 17944 14154 18276 14211 18276 14692 17612 15032 16393 16051 18166 16702 18055 17212 17169 17381 15729 17834 17280 18457 18498 18599 17944 18967 17833 19023 17723 19080 17169 19929 18055 20665 17944 20779 3876 20665 3544" fillcolor="silver" stroked="f">
          <v:fill opacity="64225f"/>
          <v:textpath style="font-family:&quot;Impact&quot;;font-size:120pt" string="DATA-PSST! "/>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BEC" w:rsidRPr="001C1D0E" w:rsidRDefault="00BF3BEC" w:rsidP="00074B19">
    <w:pPr>
      <w:jc w:val="center"/>
      <w:rPr>
        <w:rFonts w:asciiTheme="majorHAnsi" w:hAnsiTheme="majorHAnsi"/>
        <w:color w:val="17365D" w:themeColor="text2" w:themeShade="BF"/>
        <w:sz w:val="18"/>
        <w:szCs w:val="18"/>
      </w:rPr>
    </w:pPr>
    <w:r w:rsidRPr="001C1D0E">
      <w:rPr>
        <w:rFonts w:asciiTheme="majorHAnsi" w:hAnsiTheme="majorHAnsi"/>
        <w:color w:val="17365D" w:themeColor="text2" w:themeShade="BF"/>
        <w:sz w:val="18"/>
        <w:szCs w:val="18"/>
      </w:rPr>
      <w:t>DATA-</w:t>
    </w:r>
    <w:proofErr w:type="spellStart"/>
    <w:r w:rsidRPr="001C1D0E">
      <w:rPr>
        <w:rFonts w:asciiTheme="majorHAnsi" w:hAnsiTheme="majorHAnsi"/>
        <w:color w:val="17365D" w:themeColor="text2" w:themeShade="BF"/>
        <w:sz w:val="18"/>
        <w:szCs w:val="18"/>
      </w:rPr>
      <w:t>PSST</w:t>
    </w:r>
    <w:proofErr w:type="spellEnd"/>
    <w:r w:rsidRPr="001C1D0E">
      <w:rPr>
        <w:rFonts w:asciiTheme="majorHAnsi" w:hAnsiTheme="majorHAnsi"/>
        <w:color w:val="17365D" w:themeColor="text2" w:themeShade="BF"/>
        <w:sz w:val="18"/>
        <w:szCs w:val="18"/>
      </w:rPr>
      <w:t>! Debating and Assessing Transparency Arrangements – Privacy, Security, Sur</w:t>
    </w:r>
    <w:r>
      <w:rPr>
        <w:rFonts w:asciiTheme="majorHAnsi" w:hAnsiTheme="majorHAnsi"/>
        <w:color w:val="17365D" w:themeColor="text2" w:themeShade="BF"/>
        <w:sz w:val="18"/>
        <w:szCs w:val="18"/>
      </w:rPr>
      <w:t>/</w:t>
    </w:r>
    <w:proofErr w:type="spellStart"/>
    <w:r>
      <w:rPr>
        <w:rFonts w:asciiTheme="majorHAnsi" w:hAnsiTheme="majorHAnsi"/>
        <w:color w:val="17365D" w:themeColor="text2" w:themeShade="BF"/>
        <w:sz w:val="18"/>
        <w:szCs w:val="18"/>
      </w:rPr>
      <w:t>Sous/V</w:t>
    </w:r>
    <w:r w:rsidRPr="001C1D0E">
      <w:rPr>
        <w:rFonts w:asciiTheme="majorHAnsi" w:hAnsiTheme="majorHAnsi"/>
        <w:color w:val="17365D" w:themeColor="text2" w:themeShade="BF"/>
        <w:sz w:val="18"/>
        <w:szCs w:val="18"/>
      </w:rPr>
      <w:t>eillance</w:t>
    </w:r>
    <w:proofErr w:type="spellEnd"/>
    <w:r w:rsidRPr="001C1D0E">
      <w:rPr>
        <w:rFonts w:asciiTheme="majorHAnsi" w:hAnsiTheme="majorHAnsi"/>
        <w:color w:val="17365D" w:themeColor="text2" w:themeShade="BF"/>
        <w:sz w:val="18"/>
        <w:szCs w:val="18"/>
      </w:rPr>
      <w:t>, Trust</w:t>
    </w:r>
  </w:p>
  <w:p w:rsidR="00BF3BEC" w:rsidRPr="001C1D0E" w:rsidRDefault="00D75DB4" w:rsidP="00074B19">
    <w:pPr>
      <w:pStyle w:val="Header"/>
      <w:jc w:val="center"/>
      <w:rPr>
        <w:color w:val="17365D" w:themeColor="text2" w:themeShade="BF"/>
      </w:rPr>
    </w:pPr>
    <w:hyperlink r:id="rId1" w:history="1">
      <w:r w:rsidR="00BF3BEC" w:rsidRPr="001C1D0E">
        <w:rPr>
          <w:rStyle w:val="Hyperlink"/>
          <w:rFonts w:asciiTheme="majorHAnsi" w:eastAsia="Times New Roman" w:hAnsiTheme="majorHAnsi"/>
          <w:color w:val="17365D" w:themeColor="text2" w:themeShade="BF"/>
          <w:sz w:val="18"/>
          <w:szCs w:val="18"/>
          <w:shd w:val="clear" w:color="auto" w:fill="FFFFFF"/>
        </w:rPr>
        <w:t>http://data-psst.bangor.ac.uk/index.php.en</w:t>
      </w:r>
    </w:hyperlink>
    <w:r>
      <w:rPr>
        <w:noProof/>
        <w:color w:val="17365D" w:themeColor="text2" w:themeShade="BF"/>
        <w:lang w:val="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72pt;height:146pt;rotation:315;z-index:-251657216;mso-wrap-edited:f;mso-position-horizontal:center;mso-position-horizontal-relative:margin;mso-position-vertical:center;mso-position-vertical-relative:margin" wrapcoords="20665 3544 18117 3544 16872 3655 16532 3323 16164 3101 15938 3323 15598 3766 15287 4984 14834 4209 14211 3323 14154 3323 13588 3323 13192 3987 13107 4320 12880 5427 12456 4098 11889 3101 11720 3544 10729 3544 10672 3766 10644 9193 8577 3323 3000 3544 2887 3655 2802 6092 2094 4320 1613 3323 1500 3655 169 3544 113 10633 141 17280 283 17833 3453 17723 3482 17612 3510 16615 3821 17723 4359 18498 4501 17944 4812 17944 4840 17723 4840 16726 4982 17169 5690 18276 5860 18055 6312 17833 6369 17612 7105 17944 9200 17833 9228 17723 9228 16393 9087 13403 9370 14289 10814 18055 10927 17944 11691 17833 11748 13624 13361 17723 13503 17944 14154 18276 14211 18276 14692 17612 15032 16393 16051 18166 16702 18055 17212 17169 17381 15729 17834 17280 18457 18498 18599 17944 18967 17833 19023 17723 19080 17169 19929 18055 20665 17944 20779 3876 20665 3544" fillcolor="silver" stroked="f">
          <v:fill opacity="64225f"/>
          <v:textpath style="font-family:&quot;Impact&quot;;font-size:120pt" string="DATA-PSST! "/>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BEC" w:rsidRDefault="00D75DB4">
    <w:pPr>
      <w:pStyle w:val="Header"/>
    </w:pPr>
    <w:r>
      <w:rPr>
        <w:noProof/>
        <w:lang w:val="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2pt;height:146pt;rotation:315;z-index:-251653120;mso-wrap-edited:f;mso-position-horizontal:center;mso-position-horizontal-relative:margin;mso-position-vertical:center;mso-position-vertical-relative:margin" wrapcoords="20665 3544 18117 3544 16872 3655 16532 3323 16164 3101 15938 3323 15598 3766 15287 4984 14834 4209 14211 3323 14154 3323 13588 3323 13192 3987 13107 4320 12880 5427 12456 4098 11889 3101 11720 3544 10729 3544 10672 3766 10644 9193 8577 3323 3000 3544 2887 3655 2802 6092 2094 4320 1613 3323 1500 3655 169 3544 113 10633 141 17280 283 17833 3453 17723 3482 17612 3510 16615 3821 17723 4359 18498 4501 17944 4812 17944 4840 17723 4840 16726 4982 17169 5690 18276 5860 18055 6312 17833 6369 17612 7105 17944 9200 17833 9228 17723 9228 16393 9087 13403 9370 14289 10814 18055 10927 17944 11691 17833 11748 13624 13361 17723 13503 17944 14154 18276 14211 18276 14692 17612 15032 16393 16051 18166 16702 18055 17212 17169 17381 15729 17834 17280 18457 18498 18599 17944 18967 17833 19023 17723 19080 17169 19929 18055 20665 17944 20779 3876 20665 3544" fillcolor="silver" stroked="f">
          <v:fill opacity="64225f"/>
          <v:textpath style="font-family:&quot;Impact&quot;;font-size:120pt" string="DATA-PSST! "/>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9B2"/>
    <w:multiLevelType w:val="hybridMultilevel"/>
    <w:tmpl w:val="44E0A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828B5"/>
    <w:multiLevelType w:val="hybridMultilevel"/>
    <w:tmpl w:val="B7BAD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95B15"/>
    <w:multiLevelType w:val="hybridMultilevel"/>
    <w:tmpl w:val="B7D01614"/>
    <w:lvl w:ilvl="0" w:tplc="41C0EF08">
      <w:start w:val="21"/>
      <w:numFmt w:val="bullet"/>
      <w:lvlText w:val="-"/>
      <w:lvlJc w:val="left"/>
      <w:pPr>
        <w:ind w:left="720" w:hanging="360"/>
      </w:pPr>
      <w:rPr>
        <w:rFonts w:ascii="Arial" w:eastAsia="Times New Roman" w:hAnsi="Aria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B5CC2"/>
    <w:multiLevelType w:val="hybridMultilevel"/>
    <w:tmpl w:val="E28A63E2"/>
    <w:lvl w:ilvl="0" w:tplc="0DA8304A">
      <w:start w:val="21"/>
      <w:numFmt w:val="bullet"/>
      <w:lvlText w:val="-"/>
      <w:lvlJc w:val="left"/>
      <w:pPr>
        <w:ind w:left="720" w:hanging="360"/>
      </w:pPr>
      <w:rPr>
        <w:rFonts w:ascii="Arial" w:eastAsia="Times New Roman" w:hAnsi="Aria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9B735F"/>
    <w:multiLevelType w:val="hybridMultilevel"/>
    <w:tmpl w:val="851C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AF4501"/>
    <w:multiLevelType w:val="hybridMultilevel"/>
    <w:tmpl w:val="E7040C6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EC6845"/>
    <w:multiLevelType w:val="hybridMultilevel"/>
    <w:tmpl w:val="C04497D8"/>
    <w:lvl w:ilvl="0" w:tplc="555AEF66">
      <w:start w:val="6"/>
      <w:numFmt w:val="bullet"/>
      <w:lvlText w:val="-"/>
      <w:lvlJc w:val="left"/>
      <w:pPr>
        <w:ind w:left="4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331E7F"/>
    <w:multiLevelType w:val="hybridMultilevel"/>
    <w:tmpl w:val="53B22C5E"/>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25791F"/>
    <w:multiLevelType w:val="hybridMultilevel"/>
    <w:tmpl w:val="A2D41878"/>
    <w:lvl w:ilvl="0" w:tplc="555AEF66">
      <w:start w:val="6"/>
      <w:numFmt w:val="bullet"/>
      <w:lvlText w:val="-"/>
      <w:lvlJc w:val="left"/>
      <w:pPr>
        <w:ind w:left="420" w:hanging="360"/>
      </w:pPr>
      <w:rPr>
        <w:rFonts w:ascii="Calibri" w:eastAsiaTheme="minorEastAsia" w:hAnsi="Calibri"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6FE277A8"/>
    <w:multiLevelType w:val="hybridMultilevel"/>
    <w:tmpl w:val="18B2D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AE5A1F"/>
    <w:multiLevelType w:val="hybridMultilevel"/>
    <w:tmpl w:val="83724C92"/>
    <w:lvl w:ilvl="0" w:tplc="E8383200">
      <w:start w:val="21"/>
      <w:numFmt w:val="bullet"/>
      <w:lvlText w:val="–"/>
      <w:lvlJc w:val="left"/>
      <w:pPr>
        <w:ind w:left="720" w:hanging="360"/>
      </w:pPr>
      <w:rPr>
        <w:rFonts w:ascii="Arial" w:eastAsia="Times New Roman" w:hAnsi="Aria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8"/>
  </w:num>
  <w:num w:numId="5">
    <w:abstractNumId w:val="5"/>
  </w:num>
  <w:num w:numId="6">
    <w:abstractNumId w:val="7"/>
  </w:num>
  <w:num w:numId="7">
    <w:abstractNumId w:val="6"/>
  </w:num>
  <w:num w:numId="8">
    <w:abstractNumId w:val="9"/>
  </w:num>
  <w:num w:numId="9">
    <w:abstractNumId w:val="10"/>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
  <w:rsids>
    <w:rsidRoot w:val="007A1C49"/>
    <w:rsid w:val="000030DD"/>
    <w:rsid w:val="00005761"/>
    <w:rsid w:val="000110B6"/>
    <w:rsid w:val="00033BD8"/>
    <w:rsid w:val="00074B19"/>
    <w:rsid w:val="00076DD4"/>
    <w:rsid w:val="000843C8"/>
    <w:rsid w:val="000A4859"/>
    <w:rsid w:val="000B719D"/>
    <w:rsid w:val="000C0322"/>
    <w:rsid w:val="000E422A"/>
    <w:rsid w:val="000E518A"/>
    <w:rsid w:val="00124778"/>
    <w:rsid w:val="00157F2B"/>
    <w:rsid w:val="00195FCA"/>
    <w:rsid w:val="001B0FF3"/>
    <w:rsid w:val="001C1D0E"/>
    <w:rsid w:val="001E091E"/>
    <w:rsid w:val="001F5E1F"/>
    <w:rsid w:val="00272F2A"/>
    <w:rsid w:val="002C75F6"/>
    <w:rsid w:val="002D7352"/>
    <w:rsid w:val="003039EA"/>
    <w:rsid w:val="00313945"/>
    <w:rsid w:val="003728D0"/>
    <w:rsid w:val="003D3551"/>
    <w:rsid w:val="004129CC"/>
    <w:rsid w:val="00430FE4"/>
    <w:rsid w:val="00431186"/>
    <w:rsid w:val="00452EA4"/>
    <w:rsid w:val="00487001"/>
    <w:rsid w:val="004D5F2C"/>
    <w:rsid w:val="00533D40"/>
    <w:rsid w:val="00536CBE"/>
    <w:rsid w:val="005435F0"/>
    <w:rsid w:val="005448BA"/>
    <w:rsid w:val="00552C4E"/>
    <w:rsid w:val="00571A5E"/>
    <w:rsid w:val="00571C5A"/>
    <w:rsid w:val="005769DA"/>
    <w:rsid w:val="00581180"/>
    <w:rsid w:val="005C0BCB"/>
    <w:rsid w:val="005C11FF"/>
    <w:rsid w:val="005D6C47"/>
    <w:rsid w:val="00605BE8"/>
    <w:rsid w:val="00611819"/>
    <w:rsid w:val="00632428"/>
    <w:rsid w:val="00640188"/>
    <w:rsid w:val="00660EF8"/>
    <w:rsid w:val="006951A1"/>
    <w:rsid w:val="006A561B"/>
    <w:rsid w:val="006C3E8D"/>
    <w:rsid w:val="006D60B3"/>
    <w:rsid w:val="00771BC1"/>
    <w:rsid w:val="00773845"/>
    <w:rsid w:val="00774229"/>
    <w:rsid w:val="007A1C49"/>
    <w:rsid w:val="007D64BF"/>
    <w:rsid w:val="008563D0"/>
    <w:rsid w:val="00862060"/>
    <w:rsid w:val="008663A0"/>
    <w:rsid w:val="008765B4"/>
    <w:rsid w:val="008803B9"/>
    <w:rsid w:val="008A6441"/>
    <w:rsid w:val="008C4B14"/>
    <w:rsid w:val="008C64CE"/>
    <w:rsid w:val="009113D0"/>
    <w:rsid w:val="00932C01"/>
    <w:rsid w:val="009D6D46"/>
    <w:rsid w:val="00A22031"/>
    <w:rsid w:val="00A567B7"/>
    <w:rsid w:val="00A97DF7"/>
    <w:rsid w:val="00AB6664"/>
    <w:rsid w:val="00AD2327"/>
    <w:rsid w:val="00AF3C08"/>
    <w:rsid w:val="00B3334D"/>
    <w:rsid w:val="00B820AC"/>
    <w:rsid w:val="00B86D34"/>
    <w:rsid w:val="00BB0047"/>
    <w:rsid w:val="00BE000F"/>
    <w:rsid w:val="00BF3BEC"/>
    <w:rsid w:val="00C035A9"/>
    <w:rsid w:val="00C85A6C"/>
    <w:rsid w:val="00CA7107"/>
    <w:rsid w:val="00CC16CD"/>
    <w:rsid w:val="00CC46E5"/>
    <w:rsid w:val="00CC7E7C"/>
    <w:rsid w:val="00CD493B"/>
    <w:rsid w:val="00CF2EA0"/>
    <w:rsid w:val="00D50A4E"/>
    <w:rsid w:val="00D5651E"/>
    <w:rsid w:val="00D75DB4"/>
    <w:rsid w:val="00D941B9"/>
    <w:rsid w:val="00DB3B48"/>
    <w:rsid w:val="00DB5BF1"/>
    <w:rsid w:val="00DF6BB0"/>
    <w:rsid w:val="00E009C7"/>
    <w:rsid w:val="00E22775"/>
    <w:rsid w:val="00E250A3"/>
    <w:rsid w:val="00E34502"/>
    <w:rsid w:val="00E65FCA"/>
    <w:rsid w:val="00E7756A"/>
    <w:rsid w:val="00EA6AD7"/>
    <w:rsid w:val="00EE3525"/>
    <w:rsid w:val="00EF39C4"/>
    <w:rsid w:val="00EF42C3"/>
    <w:rsid w:val="00F0440F"/>
    <w:rsid w:val="00F52D5D"/>
    <w:rsid w:val="00F77A9F"/>
    <w:rsid w:val="00FA7173"/>
    <w:rsid w:val="00FD0C9C"/>
    <w:rsid w:val="00FE4DB2"/>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C49"/>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link w:val="TitleChar"/>
    <w:uiPriority w:val="10"/>
    <w:qFormat/>
    <w:rsid w:val="007A1C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1C49"/>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A1C4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A1C49"/>
    <w:rPr>
      <w:rFonts w:asciiTheme="majorHAnsi" w:eastAsiaTheme="majorEastAsia" w:hAnsiTheme="majorHAnsi" w:cstheme="majorBidi"/>
      <w:i/>
      <w:iCs/>
      <w:color w:val="4F81BD" w:themeColor="accent1"/>
      <w:spacing w:val="15"/>
      <w:lang w:val="en-GB"/>
    </w:rPr>
  </w:style>
  <w:style w:type="paragraph" w:styleId="ListParagraph">
    <w:name w:val="List Paragraph"/>
    <w:basedOn w:val="Normal"/>
    <w:uiPriority w:val="34"/>
    <w:qFormat/>
    <w:rsid w:val="007A1C49"/>
    <w:pPr>
      <w:ind w:left="720"/>
      <w:contextualSpacing/>
    </w:pPr>
  </w:style>
  <w:style w:type="character" w:styleId="Hyperlink">
    <w:name w:val="Hyperlink"/>
    <w:basedOn w:val="DefaultParagraphFont"/>
    <w:uiPriority w:val="99"/>
    <w:unhideWhenUsed/>
    <w:rsid w:val="007A1C49"/>
    <w:rPr>
      <w:color w:val="0000FF"/>
      <w:u w:val="single"/>
    </w:rPr>
  </w:style>
  <w:style w:type="paragraph" w:styleId="NormalWeb">
    <w:name w:val="Normal (Web)"/>
    <w:basedOn w:val="Normal"/>
    <w:uiPriority w:val="99"/>
    <w:unhideWhenUsed/>
    <w:rsid w:val="007A1C49"/>
    <w:rPr>
      <w:rFonts w:ascii="Times New Roman" w:eastAsiaTheme="minorHAnsi" w:hAnsi="Times New Roman" w:cs="Times New Roman"/>
      <w:lang w:eastAsia="en-GB"/>
    </w:rPr>
  </w:style>
  <w:style w:type="character" w:styleId="CommentReference">
    <w:name w:val="annotation reference"/>
    <w:basedOn w:val="DefaultParagraphFont"/>
    <w:unhideWhenUsed/>
    <w:rsid w:val="007A1C49"/>
    <w:rPr>
      <w:sz w:val="18"/>
      <w:szCs w:val="18"/>
    </w:rPr>
  </w:style>
  <w:style w:type="paragraph" w:styleId="CommentText">
    <w:name w:val="annotation text"/>
    <w:basedOn w:val="Normal"/>
    <w:link w:val="CommentTextChar"/>
    <w:unhideWhenUsed/>
    <w:rsid w:val="007A1C49"/>
  </w:style>
  <w:style w:type="character" w:customStyle="1" w:styleId="CommentTextChar">
    <w:name w:val="Comment Text Char"/>
    <w:basedOn w:val="DefaultParagraphFont"/>
    <w:link w:val="CommentText"/>
    <w:rsid w:val="007A1C49"/>
    <w:rPr>
      <w:lang w:val="en-GB"/>
    </w:rPr>
  </w:style>
  <w:style w:type="paragraph" w:styleId="BalloonText">
    <w:name w:val="Balloon Text"/>
    <w:basedOn w:val="Normal"/>
    <w:link w:val="BalloonTextChar"/>
    <w:uiPriority w:val="99"/>
    <w:semiHidden/>
    <w:unhideWhenUsed/>
    <w:rsid w:val="007A1C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C49"/>
    <w:rPr>
      <w:rFonts w:ascii="Lucida Grande"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CA7107"/>
    <w:rPr>
      <w:b/>
      <w:bCs/>
      <w:sz w:val="20"/>
      <w:szCs w:val="20"/>
    </w:rPr>
  </w:style>
  <w:style w:type="character" w:customStyle="1" w:styleId="CommentSubjectChar">
    <w:name w:val="Comment Subject Char"/>
    <w:basedOn w:val="CommentTextChar"/>
    <w:link w:val="CommentSubject"/>
    <w:uiPriority w:val="99"/>
    <w:semiHidden/>
    <w:rsid w:val="00CA7107"/>
    <w:rPr>
      <w:b/>
      <w:bCs/>
      <w:sz w:val="20"/>
      <w:szCs w:val="20"/>
      <w:lang w:val="en-GB"/>
    </w:rPr>
  </w:style>
  <w:style w:type="paragraph" w:styleId="Header">
    <w:name w:val="header"/>
    <w:basedOn w:val="Normal"/>
    <w:link w:val="HeaderChar"/>
    <w:uiPriority w:val="99"/>
    <w:unhideWhenUsed/>
    <w:rsid w:val="00CA7107"/>
    <w:pPr>
      <w:tabs>
        <w:tab w:val="center" w:pos="4320"/>
        <w:tab w:val="right" w:pos="8640"/>
      </w:tabs>
    </w:pPr>
  </w:style>
  <w:style w:type="character" w:customStyle="1" w:styleId="HeaderChar">
    <w:name w:val="Header Char"/>
    <w:basedOn w:val="DefaultParagraphFont"/>
    <w:link w:val="Header"/>
    <w:uiPriority w:val="99"/>
    <w:rsid w:val="00CA7107"/>
    <w:rPr>
      <w:lang w:val="en-GB"/>
    </w:rPr>
  </w:style>
  <w:style w:type="paragraph" w:styleId="Footer">
    <w:name w:val="footer"/>
    <w:basedOn w:val="Normal"/>
    <w:link w:val="FooterChar"/>
    <w:uiPriority w:val="99"/>
    <w:unhideWhenUsed/>
    <w:rsid w:val="00CA7107"/>
    <w:pPr>
      <w:tabs>
        <w:tab w:val="center" w:pos="4320"/>
        <w:tab w:val="right" w:pos="8640"/>
      </w:tabs>
    </w:pPr>
  </w:style>
  <w:style w:type="character" w:customStyle="1" w:styleId="FooterChar">
    <w:name w:val="Footer Char"/>
    <w:basedOn w:val="DefaultParagraphFont"/>
    <w:link w:val="Footer"/>
    <w:uiPriority w:val="99"/>
    <w:rsid w:val="00CA7107"/>
    <w:rPr>
      <w:lang w:val="en-GB"/>
    </w:rPr>
  </w:style>
  <w:style w:type="table" w:styleId="TableGrid">
    <w:name w:val="Table Grid"/>
    <w:basedOn w:val="TableNormal"/>
    <w:uiPriority w:val="59"/>
    <w:rsid w:val="009113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95FCA"/>
    <w:rPr>
      <w:color w:val="800080" w:themeColor="followedHyperlink"/>
      <w:u w:val="single"/>
    </w:rPr>
  </w:style>
  <w:style w:type="character" w:styleId="FootnoteReference">
    <w:name w:val="footnote reference"/>
    <w:rsid w:val="002C75F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C4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1C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1C49"/>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A1C4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A1C49"/>
    <w:rPr>
      <w:rFonts w:asciiTheme="majorHAnsi" w:eastAsiaTheme="majorEastAsia" w:hAnsiTheme="majorHAnsi" w:cstheme="majorBidi"/>
      <w:i/>
      <w:iCs/>
      <w:color w:val="4F81BD" w:themeColor="accent1"/>
      <w:spacing w:val="15"/>
      <w:lang w:val="en-GB"/>
    </w:rPr>
  </w:style>
  <w:style w:type="paragraph" w:styleId="ListParagraph">
    <w:name w:val="List Paragraph"/>
    <w:basedOn w:val="Normal"/>
    <w:uiPriority w:val="34"/>
    <w:qFormat/>
    <w:rsid w:val="007A1C49"/>
    <w:pPr>
      <w:ind w:left="720"/>
      <w:contextualSpacing/>
    </w:pPr>
  </w:style>
  <w:style w:type="character" w:styleId="Hyperlink">
    <w:name w:val="Hyperlink"/>
    <w:basedOn w:val="DefaultParagraphFont"/>
    <w:uiPriority w:val="99"/>
    <w:unhideWhenUsed/>
    <w:rsid w:val="007A1C49"/>
    <w:rPr>
      <w:color w:val="0000FF"/>
      <w:u w:val="single"/>
    </w:rPr>
  </w:style>
  <w:style w:type="paragraph" w:styleId="NormalWeb">
    <w:name w:val="Normal (Web)"/>
    <w:basedOn w:val="Normal"/>
    <w:uiPriority w:val="99"/>
    <w:unhideWhenUsed/>
    <w:rsid w:val="007A1C49"/>
    <w:rPr>
      <w:rFonts w:ascii="Times New Roman" w:eastAsiaTheme="minorHAnsi" w:hAnsi="Times New Roman" w:cs="Times New Roman"/>
      <w:lang w:eastAsia="en-GB"/>
    </w:rPr>
  </w:style>
  <w:style w:type="character" w:styleId="CommentReference">
    <w:name w:val="annotation reference"/>
    <w:basedOn w:val="DefaultParagraphFont"/>
    <w:unhideWhenUsed/>
    <w:rsid w:val="007A1C49"/>
    <w:rPr>
      <w:sz w:val="18"/>
      <w:szCs w:val="18"/>
    </w:rPr>
  </w:style>
  <w:style w:type="paragraph" w:styleId="CommentText">
    <w:name w:val="annotation text"/>
    <w:basedOn w:val="Normal"/>
    <w:link w:val="CommentTextChar"/>
    <w:unhideWhenUsed/>
    <w:rsid w:val="007A1C49"/>
  </w:style>
  <w:style w:type="character" w:customStyle="1" w:styleId="CommentTextChar">
    <w:name w:val="Comment Text Char"/>
    <w:basedOn w:val="DefaultParagraphFont"/>
    <w:link w:val="CommentText"/>
    <w:rsid w:val="007A1C49"/>
    <w:rPr>
      <w:lang w:val="en-GB"/>
    </w:rPr>
  </w:style>
  <w:style w:type="paragraph" w:styleId="BalloonText">
    <w:name w:val="Balloon Text"/>
    <w:basedOn w:val="Normal"/>
    <w:link w:val="BalloonTextChar"/>
    <w:uiPriority w:val="99"/>
    <w:semiHidden/>
    <w:unhideWhenUsed/>
    <w:rsid w:val="007A1C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C49"/>
    <w:rPr>
      <w:rFonts w:ascii="Lucida Grande"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CA7107"/>
    <w:rPr>
      <w:b/>
      <w:bCs/>
      <w:sz w:val="20"/>
      <w:szCs w:val="20"/>
    </w:rPr>
  </w:style>
  <w:style w:type="character" w:customStyle="1" w:styleId="CommentSubjectChar">
    <w:name w:val="Comment Subject Char"/>
    <w:basedOn w:val="CommentTextChar"/>
    <w:link w:val="CommentSubject"/>
    <w:uiPriority w:val="99"/>
    <w:semiHidden/>
    <w:rsid w:val="00CA7107"/>
    <w:rPr>
      <w:b/>
      <w:bCs/>
      <w:sz w:val="20"/>
      <w:szCs w:val="20"/>
      <w:lang w:val="en-GB"/>
    </w:rPr>
  </w:style>
  <w:style w:type="paragraph" w:styleId="Header">
    <w:name w:val="header"/>
    <w:basedOn w:val="Normal"/>
    <w:link w:val="HeaderChar"/>
    <w:uiPriority w:val="99"/>
    <w:unhideWhenUsed/>
    <w:rsid w:val="00CA7107"/>
    <w:pPr>
      <w:tabs>
        <w:tab w:val="center" w:pos="4320"/>
        <w:tab w:val="right" w:pos="8640"/>
      </w:tabs>
    </w:pPr>
  </w:style>
  <w:style w:type="character" w:customStyle="1" w:styleId="HeaderChar">
    <w:name w:val="Header Char"/>
    <w:basedOn w:val="DefaultParagraphFont"/>
    <w:link w:val="Header"/>
    <w:uiPriority w:val="99"/>
    <w:rsid w:val="00CA7107"/>
    <w:rPr>
      <w:lang w:val="en-GB"/>
    </w:rPr>
  </w:style>
  <w:style w:type="paragraph" w:styleId="Footer">
    <w:name w:val="footer"/>
    <w:basedOn w:val="Normal"/>
    <w:link w:val="FooterChar"/>
    <w:uiPriority w:val="99"/>
    <w:unhideWhenUsed/>
    <w:rsid w:val="00CA7107"/>
    <w:pPr>
      <w:tabs>
        <w:tab w:val="center" w:pos="4320"/>
        <w:tab w:val="right" w:pos="8640"/>
      </w:tabs>
    </w:pPr>
  </w:style>
  <w:style w:type="character" w:customStyle="1" w:styleId="FooterChar">
    <w:name w:val="Footer Char"/>
    <w:basedOn w:val="DefaultParagraphFont"/>
    <w:link w:val="Footer"/>
    <w:uiPriority w:val="99"/>
    <w:rsid w:val="00CA7107"/>
    <w:rPr>
      <w:lang w:val="en-GB"/>
    </w:rPr>
  </w:style>
  <w:style w:type="table" w:styleId="TableGrid">
    <w:name w:val="Table Grid"/>
    <w:basedOn w:val="TableNormal"/>
    <w:uiPriority w:val="59"/>
    <w:rsid w:val="009113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95FCA"/>
    <w:rPr>
      <w:color w:val="800080" w:themeColor="followedHyperlink"/>
      <w:u w:val="single"/>
    </w:rPr>
  </w:style>
  <w:style w:type="character" w:styleId="FootnoteReference">
    <w:name w:val="footnote reference"/>
    <w:rsid w:val="002C75F6"/>
    <w:rPr>
      <w:vertAlign w:val="superscript"/>
    </w:rPr>
  </w:style>
</w:styles>
</file>

<file path=word/webSettings.xml><?xml version="1.0" encoding="utf-8"?>
<w:webSettings xmlns:r="http://schemas.openxmlformats.org/officeDocument/2006/relationships" xmlns:w="http://schemas.openxmlformats.org/wordprocessingml/2006/main">
  <w:divs>
    <w:div w:id="1370381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image" Target="media/image1.gif"/><Relationship Id="rId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6" Type="http://schemas.microsoft.com/office/2007/relationships/stylesWithEffects" Target="stylesWithEffects.xml"/><Relationship Id="rId8" Type="http://schemas.openxmlformats.org/officeDocument/2006/relationships/image" Target="media/image2.png"/><Relationship Id="rId13" Type="http://schemas.openxmlformats.org/officeDocument/2006/relationships/header" Target="header3.xml"/><Relationship Id="rId10" Type="http://schemas.openxmlformats.org/officeDocument/2006/relationships/hyperlink" Target="https://www.planet.com/" TargetMode="External"/><Relationship Id="rId5" Type="http://schemas.openxmlformats.org/officeDocument/2006/relationships/footnotes" Target="footnotes.xml"/><Relationship Id="rId15" Type="http://schemas.openxmlformats.org/officeDocument/2006/relationships/theme" Target="theme/theme1.xml"/><Relationship Id="rId12" Type="http://schemas.openxmlformats.org/officeDocument/2006/relationships/header" Target="header2.xml"/><Relationship Id="rId2" Type="http://schemas.openxmlformats.org/officeDocument/2006/relationships/styles" Target="styles.xml"/><Relationship Id="rId9" Type="http://schemas.openxmlformats.org/officeDocument/2006/relationships/hyperlink" Target="http://wearcam.org/html5/mannkeynotes/priveillance.htm"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hyperlink" Target="http://data-psst.bangor.ac.uk/index.ph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871</Words>
  <Characters>4882</Characters>
  <Application>Microsoft Macintosh Word</Application>
  <DocSecurity>0</DocSecurity>
  <Lines>95</Lines>
  <Paragraphs>25</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McStay</dc:creator>
  <cp:lastModifiedBy>Vian Bakir</cp:lastModifiedBy>
  <cp:revision>6</cp:revision>
  <dcterms:created xsi:type="dcterms:W3CDTF">2015-01-27T17:49:00Z</dcterms:created>
  <dcterms:modified xsi:type="dcterms:W3CDTF">2015-01-28T20:46:00Z</dcterms:modified>
</cp:coreProperties>
</file>